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98" w:rsidRPr="00311701" w:rsidRDefault="007F1E5F" w:rsidP="00311701">
      <w:pPr>
        <w:spacing w:after="0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5pt;height:686.05pt">
            <v:imagedata r:id="rId4" o:title="EF1AD44E"/>
          </v:shape>
        </w:pict>
      </w:r>
    </w:p>
    <w:p w:rsidR="00700C98" w:rsidRPr="00644826" w:rsidRDefault="00700C98" w:rsidP="00311701">
      <w:pPr>
        <w:spacing w:after="0"/>
        <w:rPr>
          <w:rFonts w:ascii="Times New Roman" w:hAnsi="Times New Roman"/>
          <w:b/>
          <w:sz w:val="28"/>
          <w:szCs w:val="28"/>
        </w:rPr>
      </w:pPr>
      <w:r w:rsidRPr="00644826">
        <w:rPr>
          <w:rFonts w:ascii="Times New Roman" w:hAnsi="Times New Roman"/>
          <w:b/>
          <w:sz w:val="28"/>
          <w:szCs w:val="28"/>
        </w:rPr>
        <w:lastRenderedPageBreak/>
        <w:t>1.      Общие положения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1.1.    Положение о порядке установления выплат стимулирующего характера работникам Муниципального дошкольного образов</w:t>
      </w:r>
      <w:r w:rsidR="00311701">
        <w:rPr>
          <w:rFonts w:ascii="Times New Roman" w:hAnsi="Times New Roman"/>
          <w:sz w:val="28"/>
          <w:szCs w:val="28"/>
        </w:rPr>
        <w:t>ательного бюджетного учреждения Тальского</w:t>
      </w:r>
      <w:r>
        <w:rPr>
          <w:rFonts w:ascii="Times New Roman" w:hAnsi="Times New Roman"/>
          <w:sz w:val="28"/>
          <w:szCs w:val="28"/>
        </w:rPr>
        <w:t xml:space="preserve"> детского</w:t>
      </w:r>
      <w:r w:rsidRPr="00F80BE9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311701">
        <w:rPr>
          <w:rFonts w:ascii="Times New Roman" w:hAnsi="Times New Roman"/>
          <w:sz w:val="28"/>
          <w:szCs w:val="28"/>
        </w:rPr>
        <w:t xml:space="preserve">  № 12</w:t>
      </w:r>
      <w:r w:rsidRPr="00F80BE9">
        <w:rPr>
          <w:rFonts w:ascii="Times New Roman" w:hAnsi="Times New Roman"/>
          <w:sz w:val="28"/>
          <w:szCs w:val="28"/>
        </w:rPr>
        <w:t xml:space="preserve"> Ирбейского района (далее по тексту Положение) разработано в соответствии с Трудовым кодексом Российской федерации, Законом Российской федерации «Об образовании», Положением об оплате труда работников муниципальных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Pr="00F80BE9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Ирбейского района, реализующих общеобразовательные программы начального общего, основного общего, среднего (полного) общего, основного общего, среднего (полного) общего образования, а также дошкольного образования, № 495-ПГ от 21.05.2012г., </w:t>
      </w:r>
      <w:r w:rsidRPr="000B4CA1">
        <w:rPr>
          <w:rFonts w:ascii="Times New Roman" w:hAnsi="Times New Roman"/>
          <w:sz w:val="28"/>
          <w:szCs w:val="28"/>
        </w:rPr>
        <w:t>нормативными правовыми актами Российско</w:t>
      </w:r>
      <w:r>
        <w:rPr>
          <w:rFonts w:ascii="Times New Roman" w:hAnsi="Times New Roman"/>
          <w:sz w:val="28"/>
          <w:szCs w:val="28"/>
        </w:rPr>
        <w:t>й Федерации, Красноярского края, Ирбейского района.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1.2.   Положение является локальным нормативным актом Муниципального дошкольного образовательного бюджетного учреждения </w:t>
      </w:r>
      <w:r w:rsidR="00311701">
        <w:rPr>
          <w:rFonts w:ascii="Times New Roman" w:hAnsi="Times New Roman"/>
          <w:sz w:val="28"/>
          <w:szCs w:val="28"/>
        </w:rPr>
        <w:t>Тальского</w:t>
      </w:r>
      <w:r>
        <w:rPr>
          <w:rFonts w:ascii="Times New Roman" w:hAnsi="Times New Roman"/>
          <w:sz w:val="28"/>
          <w:szCs w:val="28"/>
        </w:rPr>
        <w:t xml:space="preserve"> детского</w:t>
      </w:r>
      <w:r w:rsidRPr="00F80BE9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Ирбейского района </w:t>
      </w:r>
      <w:r>
        <w:rPr>
          <w:rFonts w:ascii="Times New Roman" w:hAnsi="Times New Roman"/>
          <w:sz w:val="28"/>
          <w:szCs w:val="28"/>
        </w:rPr>
        <w:t>(далее по тексту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>), устанавливающим критерии и порядок распределения стимулирующей части заработной платы работников. Настоящее Положение принимается Советом ДОУ, согласовывается с профсоюзной организацией ДОУ, утверждается и вводится в действие приказом заведующего детским садом.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1.3.   Настоящее Положение регулирует: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7841">
        <w:rPr>
          <w:rFonts w:ascii="Times New Roman" w:hAnsi="Times New Roman"/>
          <w:sz w:val="28"/>
          <w:szCs w:val="28"/>
        </w:rPr>
        <w:t>1.4.  В фонде оплаты труда на выплаты стимулирующего характера предусмотрена стимулирующая (надтарифная) часть в размере 20%.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1.5.  Стимулирующая часть  фонда оплаты труда направлена на усиление материальной заинтересованности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в повышении качества образовательного процесса, развитие творческой активности и </w:t>
      </w:r>
      <w:r w:rsidRPr="00F80BE9">
        <w:rPr>
          <w:rFonts w:ascii="Times New Roman" w:hAnsi="Times New Roman"/>
          <w:sz w:val="28"/>
          <w:szCs w:val="28"/>
        </w:rPr>
        <w:lastRenderedPageBreak/>
        <w:t>инициативы, мотивацию работников в области инновационной деятельности, современных образовательных технологий.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4437B4" w:rsidRDefault="00700C98" w:rsidP="00F80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1.6.  Система стимулирования включает поощрительные выплаты по результатам труда всем категориям работников дошкольного учреждении, включая совместителей. </w:t>
      </w:r>
      <w:r w:rsidRPr="004437B4">
        <w:rPr>
          <w:rFonts w:ascii="Times New Roman" w:hAnsi="Times New Roman"/>
          <w:b/>
          <w:sz w:val="28"/>
          <w:szCs w:val="28"/>
        </w:rPr>
        <w:t>Установление стимулирующих выплат, не связанных с результативностью труда, не допускается.</w:t>
      </w:r>
    </w:p>
    <w:p w:rsidR="00700C98" w:rsidRPr="004437B4" w:rsidRDefault="00700C98" w:rsidP="00F80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1.7.  Стимулирующие выплаты 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рассчитываются премии и выплаты стимулирующего характера к заработной плате. Размеры стимулирующих выплат зависят также от наличия средств в фонде оплаты труда.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1.8.  Срок данного положения не ограничен. Данное Положение действует до принятия нового.</w:t>
      </w:r>
    </w:p>
    <w:p w:rsidR="00700C98" w:rsidRPr="00677841" w:rsidRDefault="00700C98" w:rsidP="00677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 </w:t>
      </w:r>
      <w:r w:rsidRPr="00677841">
        <w:rPr>
          <w:rFonts w:ascii="Times New Roman" w:hAnsi="Times New Roman"/>
          <w:b/>
          <w:sz w:val="28"/>
          <w:szCs w:val="28"/>
        </w:rPr>
        <w:t xml:space="preserve"> Виды стимулирующих выплат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2.1.  В целях повышения качества деятель</w:t>
      </w:r>
      <w:r>
        <w:rPr>
          <w:rFonts w:ascii="Times New Roman" w:hAnsi="Times New Roman"/>
          <w:sz w:val="28"/>
          <w:szCs w:val="28"/>
        </w:rPr>
        <w:t>ности  работников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устанавливаются следующие виды выплат стимулирующего характера: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0BE9">
        <w:rPr>
          <w:rFonts w:ascii="Times New Roman" w:hAnsi="Times New Roman"/>
          <w:sz w:val="28"/>
          <w:szCs w:val="28"/>
        </w:rPr>
        <w:t>доплаты за работу не входящую в круг должностных обязанностей;</w:t>
      </w:r>
    </w:p>
    <w:p w:rsidR="00700C9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0BE9">
        <w:rPr>
          <w:rFonts w:ascii="Times New Roman" w:hAnsi="Times New Roman"/>
          <w:sz w:val="28"/>
          <w:szCs w:val="28"/>
        </w:rPr>
        <w:t>надбавки за высокую результативность работы, успешное выполнение наиболее сложных работ, высокое качество работы, напряженность и интенсивность труда;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23B58">
        <w:rPr>
          <w:rFonts w:ascii="Times New Roman" w:hAnsi="Times New Roman"/>
          <w:sz w:val="28"/>
          <w:szCs w:val="28"/>
        </w:rPr>
        <w:t>а квалификационную категорию: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 xml:space="preserve">Высшая квалификационная категория, в размере 20% 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>Первая квалификаци</w:t>
      </w:r>
      <w:r>
        <w:rPr>
          <w:rFonts w:ascii="Times New Roman" w:hAnsi="Times New Roman"/>
          <w:sz w:val="28"/>
          <w:szCs w:val="28"/>
        </w:rPr>
        <w:t xml:space="preserve">онная категория, в размере 15% 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23B58">
        <w:rPr>
          <w:rFonts w:ascii="Times New Roman" w:hAnsi="Times New Roman"/>
          <w:sz w:val="28"/>
          <w:szCs w:val="28"/>
        </w:rPr>
        <w:t>а опыт работы в занимаемой должности: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 xml:space="preserve">В размере 25% (стаж работы свыше 10 лет) 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 xml:space="preserve">В размере 15% (стаж работы с 5 до 10 лет) 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 xml:space="preserve">В размере 5% (стаж работы от 1 года до 5 лет) 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23B58">
        <w:rPr>
          <w:rFonts w:ascii="Times New Roman" w:hAnsi="Times New Roman"/>
          <w:sz w:val="28"/>
          <w:szCs w:val="28"/>
        </w:rPr>
        <w:t>едагогическим работникам за подготовку к занятиям в размере    %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023B58">
        <w:rPr>
          <w:rFonts w:ascii="Times New Roman" w:hAnsi="Times New Roman"/>
          <w:sz w:val="28"/>
          <w:szCs w:val="28"/>
        </w:rPr>
        <w:t>едагогическим работникам за работу с родителями в размере %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23B58">
        <w:rPr>
          <w:rFonts w:ascii="Times New Roman" w:hAnsi="Times New Roman"/>
          <w:sz w:val="28"/>
          <w:szCs w:val="28"/>
        </w:rPr>
        <w:t>а работу в сельской местности в р</w:t>
      </w:r>
      <w:r>
        <w:rPr>
          <w:rFonts w:ascii="Times New Roman" w:hAnsi="Times New Roman"/>
          <w:sz w:val="28"/>
          <w:szCs w:val="28"/>
        </w:rPr>
        <w:t>азмере 25%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</w:t>
      </w:r>
      <w:r w:rsidRPr="00023B58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одым специалистам в размере 20%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</w:t>
      </w:r>
      <w:r w:rsidRPr="00023B58">
        <w:rPr>
          <w:rFonts w:ascii="Times New Roman" w:hAnsi="Times New Roman"/>
          <w:sz w:val="28"/>
          <w:szCs w:val="28"/>
        </w:rPr>
        <w:t>ыплаты воспитателям, младшим воспитателям и помощникам воспитателей, реализующих основную общеобразовательную программу дошкольного образования детей в размере 1149,44 руб.-</w:t>
      </w:r>
    </w:p>
    <w:p w:rsidR="00700C98" w:rsidRPr="00023B58" w:rsidRDefault="00700C98" w:rsidP="00023B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023B58" w:rsidRDefault="00700C98" w:rsidP="00023B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3B58">
        <w:rPr>
          <w:rFonts w:ascii="Times New Roman" w:hAnsi="Times New Roman"/>
          <w:b/>
          <w:sz w:val="28"/>
          <w:szCs w:val="28"/>
        </w:rPr>
        <w:t>3.      Порядок установления стимулирующих выплат (доплат, надбавок, премий)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>3.1.   Распределение выплат стимулирующего характера (доплат, надбавок) осуществляется по итогам каждого месяца.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3.2.   Стимулирование работников осуществляется по балльной системе с учетом выполнения критериев.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3.3.   Денежный вес (в рублях) каждого балла определяется путём деления размера стимулирующей части фонда оплаты труда (ФОТ)  работников дошкольного образовательного учреждения, </w:t>
      </w:r>
      <w:r w:rsidRPr="00023B58">
        <w:rPr>
          <w:rFonts w:ascii="Times New Roman" w:hAnsi="Times New Roman"/>
          <w:sz w:val="28"/>
          <w:szCs w:val="28"/>
        </w:rPr>
        <w:t>запланированного на месяц, на общую сумму баллов всех работников.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Расчет стоимости балла производится по формуле: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06496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06496E">
        <w:rPr>
          <w:rFonts w:ascii="Times New Roman" w:hAnsi="Times New Roman"/>
          <w:sz w:val="28"/>
          <w:szCs w:val="28"/>
          <w:lang w:val="pt-BR"/>
        </w:rPr>
        <w:t xml:space="preserve">S = </w:t>
      </w:r>
      <w:r w:rsidRPr="00F80BE9">
        <w:rPr>
          <w:rFonts w:ascii="Times New Roman" w:hAnsi="Times New Roman"/>
          <w:sz w:val="28"/>
          <w:szCs w:val="28"/>
        </w:rPr>
        <w:t>ФОТ</w:t>
      </w:r>
      <w:r w:rsidRPr="0006496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F80BE9">
        <w:rPr>
          <w:rFonts w:ascii="Times New Roman" w:hAnsi="Times New Roman"/>
          <w:sz w:val="28"/>
          <w:szCs w:val="28"/>
        </w:rPr>
        <w:t>ст</w:t>
      </w:r>
      <w:r w:rsidRPr="0006496E">
        <w:rPr>
          <w:rFonts w:ascii="Times New Roman" w:hAnsi="Times New Roman"/>
          <w:sz w:val="28"/>
          <w:szCs w:val="28"/>
          <w:lang w:val="pt-BR"/>
        </w:rPr>
        <w:t xml:space="preserve">  / (N1 + N2 + N3 + Nn ), </w:t>
      </w:r>
      <w:r w:rsidRPr="00F80BE9">
        <w:rPr>
          <w:rFonts w:ascii="Times New Roman" w:hAnsi="Times New Roman"/>
          <w:sz w:val="28"/>
          <w:szCs w:val="28"/>
        </w:rPr>
        <w:t>где</w:t>
      </w:r>
    </w:p>
    <w:p w:rsidR="00700C98" w:rsidRPr="0006496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S – стоимость одного балла;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ФОТ ст – стимулирующая часть фонда оплаты труда;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N1, N2, …., Nn – количество баллов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3.4.   Для определения размера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3.5.  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 , утверждаемая приказом зав</w:t>
      </w:r>
      <w:r>
        <w:rPr>
          <w:rFonts w:ascii="Times New Roman" w:hAnsi="Times New Roman"/>
          <w:sz w:val="28"/>
          <w:szCs w:val="28"/>
        </w:rPr>
        <w:t>едующего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Б</w:t>
      </w:r>
      <w:r w:rsidR="00311701">
        <w:rPr>
          <w:rFonts w:ascii="Times New Roman" w:hAnsi="Times New Roman"/>
          <w:sz w:val="28"/>
          <w:szCs w:val="28"/>
        </w:rPr>
        <w:t xml:space="preserve">У № </w:t>
      </w:r>
      <w:r w:rsidR="00311701">
        <w:rPr>
          <w:rFonts w:ascii="Times New Roman" w:hAnsi="Times New Roman"/>
          <w:sz w:val="28"/>
          <w:szCs w:val="28"/>
        </w:rPr>
        <w:lastRenderedPageBreak/>
        <w:t>12</w:t>
      </w:r>
      <w:r w:rsidRPr="00F80BE9">
        <w:rPr>
          <w:rFonts w:ascii="Times New Roman" w:hAnsi="Times New Roman"/>
          <w:sz w:val="28"/>
          <w:szCs w:val="28"/>
        </w:rPr>
        <w:t xml:space="preserve">. </w:t>
      </w:r>
      <w:r w:rsidRPr="00023B58">
        <w:rPr>
          <w:rFonts w:ascii="Times New Roman" w:hAnsi="Times New Roman"/>
          <w:sz w:val="28"/>
          <w:szCs w:val="28"/>
        </w:rPr>
        <w:t>Комиссия является коллегиальным органом, действующим в соответствии с Положением о комиссии по распределению выплат стимулирующего характера.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3.6.  Основными задачами комиссии являются: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оценка результатов деятельности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в соответствии с критериями и материалами самоанализа;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рассмотрение и одобрение предлагаемо</w:t>
      </w:r>
      <w:r>
        <w:rPr>
          <w:rFonts w:ascii="Times New Roman" w:hAnsi="Times New Roman"/>
          <w:sz w:val="28"/>
          <w:szCs w:val="28"/>
        </w:rPr>
        <w:t>го администрацией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перечня работников – получателей стимулирующих выплат;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подготовка протокола заседания Комиссии о назначении стимулирующих выплат.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023B5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3.7.  Состав Комиссии определяется учреждением самостоятельно, но не может быть менее пяти человек. </w:t>
      </w:r>
      <w:r w:rsidRPr="00023B58">
        <w:rPr>
          <w:rFonts w:ascii="Times New Roman" w:hAnsi="Times New Roman"/>
          <w:sz w:val="28"/>
          <w:szCs w:val="28"/>
        </w:rPr>
        <w:t>В состав Комиссии включаются:</w:t>
      </w:r>
    </w:p>
    <w:p w:rsidR="00700C98" w:rsidRPr="00023B5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>председатель первичной профсоюзной организации;</w:t>
      </w:r>
    </w:p>
    <w:p w:rsidR="00700C98" w:rsidRPr="00023B5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3B58">
        <w:rPr>
          <w:rFonts w:ascii="Times New Roman" w:hAnsi="Times New Roman"/>
          <w:sz w:val="28"/>
          <w:szCs w:val="28"/>
        </w:rPr>
        <w:t>члены коллектива, включённые в состав Комиссии путём выборов;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502CDD">
        <w:rPr>
          <w:rFonts w:ascii="Times New Roman" w:hAnsi="Times New Roman"/>
          <w:sz w:val="28"/>
          <w:szCs w:val="28"/>
        </w:rPr>
        <w:t xml:space="preserve"> </w:t>
      </w:r>
      <w:r w:rsidRPr="00023B58">
        <w:rPr>
          <w:rFonts w:ascii="Times New Roman" w:hAnsi="Times New Roman"/>
          <w:sz w:val="28"/>
          <w:szCs w:val="28"/>
        </w:rPr>
        <w:t>хозяйственного отдела.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3.8.  Стимулирующие  выплаты осуществляются на основании аналитической информации о показателях деятельности работников (анализа рейтинговых листов и самоанализа деятельности) в соответствии с критериями оценки деяте</w:t>
      </w:r>
      <w:r w:rsidR="00311701">
        <w:rPr>
          <w:rFonts w:ascii="Times New Roman" w:hAnsi="Times New Roman"/>
          <w:sz w:val="28"/>
          <w:szCs w:val="28"/>
        </w:rPr>
        <w:t>льности работников МБДОУ д/с № 12</w:t>
      </w:r>
      <w:r w:rsidRPr="00F80BE9">
        <w:rPr>
          <w:rFonts w:ascii="Times New Roman" w:hAnsi="Times New Roman"/>
          <w:sz w:val="28"/>
          <w:szCs w:val="28"/>
        </w:rPr>
        <w:t xml:space="preserve"> представленных в Приложении № 1 к настоящему Положению.  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3F2BF7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 xml:space="preserve">3.9. На </w:t>
      </w:r>
      <w:r>
        <w:rPr>
          <w:rFonts w:ascii="Times New Roman" w:hAnsi="Times New Roman"/>
          <w:sz w:val="28"/>
          <w:szCs w:val="28"/>
        </w:rPr>
        <w:t>каждого работника руководителем</w:t>
      </w:r>
      <w:r w:rsidRPr="003F2BF7">
        <w:rPr>
          <w:rFonts w:ascii="Times New Roman" w:hAnsi="Times New Roman"/>
          <w:sz w:val="28"/>
          <w:szCs w:val="28"/>
        </w:rPr>
        <w:t xml:space="preserve"> оформляется рейтинговый лист с результатами его деятельности за истекший период.</w:t>
      </w:r>
    </w:p>
    <w:p w:rsidR="00700C98" w:rsidRPr="003F2BF7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Все работники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 xml:space="preserve"> предоставляют в комиссию по распределению стимулирующего фонда оплаты труда  материалы   по   самоанализу   деятельности, соответствии   с  утвержденными бланками не позднее 05 числа текущего месяца.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3.11.  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lastRenderedPageBreak/>
        <w:t>3.12. Комиссия принимает решение о присуждении стимулирующих выплат открытым голосованием при условии присутствия не менее половины членов состава</w:t>
      </w:r>
      <w:r w:rsidRPr="003F2BF7">
        <w:rPr>
          <w:rFonts w:ascii="Times New Roman" w:hAnsi="Times New Roman"/>
          <w:sz w:val="28"/>
          <w:szCs w:val="28"/>
        </w:rPr>
        <w:t>. Принятое решение оформляется протоколом.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 xml:space="preserve">3.13. Председатель комиссии ежемесячно предоставляет протокол заседания </w:t>
      </w:r>
      <w:r>
        <w:rPr>
          <w:rFonts w:ascii="Times New Roman" w:hAnsi="Times New Roman"/>
          <w:sz w:val="28"/>
          <w:szCs w:val="28"/>
        </w:rPr>
        <w:t>для согласования руководителю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 xml:space="preserve">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3.14. На основании протокола Ко</w:t>
      </w:r>
      <w:r>
        <w:rPr>
          <w:rFonts w:ascii="Times New Roman" w:hAnsi="Times New Roman"/>
          <w:sz w:val="28"/>
          <w:szCs w:val="28"/>
        </w:rPr>
        <w:t>миссии заведующий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Pr="00F80BE9">
        <w:rPr>
          <w:rFonts w:ascii="Times New Roman" w:hAnsi="Times New Roman"/>
          <w:sz w:val="28"/>
          <w:szCs w:val="28"/>
        </w:rPr>
        <w:t xml:space="preserve"> № 4 в течении 3-х дней издает приказ об установлении выплат стимулирующего характера.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>3.15. Обеспечение соблюдения принципа прозрачности при распределении ст</w:t>
      </w:r>
      <w:r>
        <w:rPr>
          <w:rFonts w:ascii="Times New Roman" w:hAnsi="Times New Roman"/>
          <w:sz w:val="28"/>
          <w:szCs w:val="28"/>
        </w:rPr>
        <w:t>имулирующих выплат работникам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 xml:space="preserve"> осуществляется путем предоставления информации о размерах и сроках назначения выплат.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3.16.  Выплаты стимулирующего характера к должностному окладу заведующему детским садом за сложность, напряженность и высокое качество работы устанавливаются приказом органа управления образования с учетом оценки деятельности учреждения и личного вклада в развитие системы образования.                                                                                                 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3F2BF7" w:rsidRDefault="00700C98" w:rsidP="003F2B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2BF7">
        <w:rPr>
          <w:rFonts w:ascii="Times New Roman" w:hAnsi="Times New Roman"/>
          <w:b/>
          <w:sz w:val="28"/>
          <w:szCs w:val="28"/>
        </w:rPr>
        <w:t>4. Порядок и условия премирования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 xml:space="preserve"> 4.1.  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установленных  настоящим Положением.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>4.2.  Настоящим Положением предусматривается единовременное премирование к праздничным и юбилейным датам за добросовестный и многолетний тр</w:t>
      </w:r>
      <w:r>
        <w:rPr>
          <w:rFonts w:ascii="Times New Roman" w:hAnsi="Times New Roman"/>
          <w:sz w:val="28"/>
          <w:szCs w:val="28"/>
        </w:rPr>
        <w:t>уд. Премии к юбилеям работы в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>, ко дню рождения выплачиваются работникам в зависимости от их трудового вклада.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4.3.  Выплаты единовременных поощрительных премий производятся только по решению работодателя, при этом работник не имеет право требовать их выплаты.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4.4.  Единовременное премирова</w:t>
      </w:r>
      <w:r>
        <w:rPr>
          <w:rFonts w:ascii="Times New Roman" w:hAnsi="Times New Roman"/>
          <w:sz w:val="28"/>
          <w:szCs w:val="28"/>
        </w:rPr>
        <w:t>ние работников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проводится при наличии средств в фонде заработной платы.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lastRenderedPageBreak/>
        <w:t>4.5.  Педагогические работники ДОУ, административно – управленческий персонал, иные работники могут быть премированы с учётом их трудового вклада и фактически отработанного времени. Размер премии, выплачиваемой одному работнику, предельными размерами не ограничивается.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>4.6.  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 и с учетом мнения комиссии по установлению вы</w:t>
      </w:r>
      <w:r>
        <w:rPr>
          <w:rFonts w:ascii="Times New Roman" w:hAnsi="Times New Roman"/>
          <w:sz w:val="28"/>
          <w:szCs w:val="28"/>
        </w:rPr>
        <w:t>плат стимулирующего характера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>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4.7.  Решение о виде и размере премирования рабо</w:t>
      </w:r>
      <w:r>
        <w:rPr>
          <w:rFonts w:ascii="Times New Roman" w:hAnsi="Times New Roman"/>
          <w:sz w:val="28"/>
          <w:szCs w:val="28"/>
        </w:rPr>
        <w:t>тников заведующий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 xml:space="preserve">  оформляет приказом.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4.8.  Основными условиями премирования являются: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строгое выполнение функциональных обязанностей согласно должностной инструкции;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неукоснительное соблюдение норм трудовой дисциплины, правил внутр</w:t>
      </w:r>
      <w:r>
        <w:rPr>
          <w:rFonts w:ascii="Times New Roman" w:hAnsi="Times New Roman"/>
          <w:sz w:val="28"/>
          <w:szCs w:val="28"/>
        </w:rPr>
        <w:t>еннего распорядка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Б</w:t>
      </w:r>
      <w:r w:rsidR="00311701">
        <w:rPr>
          <w:rFonts w:ascii="Times New Roman" w:hAnsi="Times New Roman"/>
          <w:sz w:val="28"/>
          <w:szCs w:val="28"/>
        </w:rPr>
        <w:t>У № 12</w:t>
      </w:r>
      <w:r w:rsidRPr="00F80BE9">
        <w:rPr>
          <w:rFonts w:ascii="Times New Roman" w:hAnsi="Times New Roman"/>
          <w:sz w:val="28"/>
          <w:szCs w:val="28"/>
        </w:rPr>
        <w:t>, четкое, своевременное исполнение распорядительных документов, решений, приказов;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качественное, своевременное выполнение плановых заданий, мероприятий;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отсутствие случаев травматизма воспитанников;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отсутствие обоснованных жалоб со стороны родителей (законных представителей);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отсутствие замечаний со стороны контролирующих органов.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BF7">
        <w:rPr>
          <w:rFonts w:ascii="Times New Roman" w:hAnsi="Times New Roman"/>
          <w:sz w:val="28"/>
          <w:szCs w:val="28"/>
        </w:rPr>
        <w:t>4.9.   Премия выплачивается в начале месяца, следующего за отчетным периодом.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4.10. В случае неудовлетворительной работы отдельных работников, невыполнения ими должностных обязанностей, совершения нарушений, перечисленных в настоящем Положении, трудовом договоре, иных локальных нормативных актах или законодательства РФ</w:t>
      </w:r>
      <w:r w:rsidRPr="003F2BF7">
        <w:rPr>
          <w:rFonts w:ascii="Times New Roman" w:hAnsi="Times New Roman"/>
          <w:sz w:val="28"/>
          <w:szCs w:val="28"/>
        </w:rPr>
        <w:t>,  руководитель структурного подразделения ( начальник хозяйственного отдела, медицинская сестра,</w:t>
      </w:r>
      <w:r>
        <w:rPr>
          <w:rFonts w:ascii="Times New Roman" w:hAnsi="Times New Roman"/>
          <w:sz w:val="28"/>
          <w:szCs w:val="28"/>
        </w:rPr>
        <w:t>) представляет заведующей М</w:t>
      </w:r>
      <w:r w:rsidRPr="003F2BF7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№ </w:t>
      </w:r>
      <w:r w:rsidR="00311701">
        <w:rPr>
          <w:rFonts w:ascii="Times New Roman" w:hAnsi="Times New Roman"/>
          <w:sz w:val="28"/>
          <w:szCs w:val="28"/>
        </w:rPr>
        <w:t>12</w:t>
      </w:r>
      <w:r w:rsidRPr="003F2BF7">
        <w:rPr>
          <w:rFonts w:ascii="Times New Roman" w:hAnsi="Times New Roman"/>
          <w:sz w:val="28"/>
          <w:szCs w:val="28"/>
        </w:rPr>
        <w:t xml:space="preserve"> служебную записку (или результаты контроля) о допущенном нарушении с предложениями о частичном или полном лишении работника премии.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lastRenderedPageBreak/>
        <w:t>4.11. Установление условий премирования, не связанных с результативностью труда, не допускается.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90003E" w:rsidRDefault="00700C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003E">
        <w:rPr>
          <w:rFonts w:ascii="Times New Roman" w:hAnsi="Times New Roman"/>
          <w:b/>
          <w:sz w:val="28"/>
          <w:szCs w:val="28"/>
        </w:rPr>
        <w:t>5.      Показатели, влияющие на уменьшение размера стимулирующих выплат (доплат и надбавок, премий).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5.1.   Размер стимулирующих выплат может быть уменьшен в следующих случаях: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полностью, если по вине работника произошел зафиксированный несчастный случай с ребенком или взрослым;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полностью или частично при поступлении обоснованных жалоб на действия  работника, нарушения правил внутреннего трудового ра</w:t>
      </w:r>
      <w:r>
        <w:rPr>
          <w:rFonts w:ascii="Times New Roman" w:hAnsi="Times New Roman"/>
          <w:sz w:val="28"/>
          <w:szCs w:val="28"/>
        </w:rPr>
        <w:t>спорядка и Устава М</w:t>
      </w:r>
      <w:r w:rsidRPr="00F80BE9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</w:t>
      </w:r>
      <w:r w:rsidR="00311701">
        <w:rPr>
          <w:rFonts w:ascii="Times New Roman" w:hAnsi="Times New Roman"/>
          <w:sz w:val="28"/>
          <w:szCs w:val="28"/>
        </w:rPr>
        <w:t xml:space="preserve"> № 12</w:t>
      </w:r>
      <w:r w:rsidRPr="00F80BE9">
        <w:rPr>
          <w:rFonts w:ascii="Times New Roman" w:hAnsi="Times New Roman"/>
          <w:sz w:val="28"/>
          <w:szCs w:val="28"/>
        </w:rPr>
        <w:t>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частично за нарушения санитарно-эпидемиологического режима;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полностью или частично при невыполнении показателей критериев данного Положения.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6398" w:rsidRDefault="00A463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398" w:rsidRDefault="00A463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398" w:rsidRDefault="00A463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398" w:rsidRDefault="00A463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398" w:rsidRDefault="00A46398" w:rsidP="00900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398" w:rsidRDefault="00A46398" w:rsidP="00A463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0C98" w:rsidRPr="0090003E" w:rsidRDefault="00700C98" w:rsidP="00A463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003E">
        <w:rPr>
          <w:rFonts w:ascii="Times New Roman" w:hAnsi="Times New Roman"/>
          <w:b/>
          <w:sz w:val="28"/>
          <w:szCs w:val="28"/>
        </w:rPr>
        <w:t>6. Заключительные положени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6.1. Все выплаты стимулирующего характера производятся в пределах установленного фонда оплаты труда по профессиональным квалификационным группам. Фонд оплаты труда по профессиональным квалификационным группам  рассчитывается главным бухгалтером.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003E">
        <w:rPr>
          <w:rFonts w:ascii="Times New Roman" w:hAnsi="Times New Roman"/>
          <w:sz w:val="28"/>
          <w:szCs w:val="28"/>
        </w:rPr>
        <w:lastRenderedPageBreak/>
        <w:t>6.2. В</w:t>
      </w:r>
      <w:r>
        <w:rPr>
          <w:rFonts w:ascii="Times New Roman" w:hAnsi="Times New Roman"/>
          <w:sz w:val="28"/>
          <w:szCs w:val="28"/>
        </w:rPr>
        <w:t xml:space="preserve"> отдельных случаях заведующий М</w:t>
      </w:r>
      <w:r w:rsidRPr="0090003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 № </w:t>
      </w:r>
      <w:r w:rsidR="00A46398">
        <w:rPr>
          <w:rFonts w:ascii="Times New Roman" w:hAnsi="Times New Roman"/>
          <w:sz w:val="28"/>
          <w:szCs w:val="28"/>
        </w:rPr>
        <w:t>12</w:t>
      </w:r>
      <w:r w:rsidRPr="0090003E">
        <w:rPr>
          <w:rFonts w:ascii="Times New Roman" w:hAnsi="Times New Roman"/>
          <w:sz w:val="28"/>
          <w:szCs w:val="28"/>
        </w:rPr>
        <w:t xml:space="preserve"> имеет право для выплат стимулирующего характера (премий) использовать средства экономии ФОТ.</w:t>
      </w: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003E">
        <w:rPr>
          <w:rFonts w:ascii="Times New Roman" w:hAnsi="Times New Roman"/>
          <w:sz w:val="28"/>
          <w:szCs w:val="28"/>
        </w:rPr>
        <w:t>6.3. Главный бухгалтер в срок до 10 числа месяца, следующего за отчетным месяцем, или кварталом, а в 4 квартале – д</w:t>
      </w:r>
      <w:r>
        <w:rPr>
          <w:rFonts w:ascii="Times New Roman" w:hAnsi="Times New Roman"/>
          <w:sz w:val="28"/>
          <w:szCs w:val="28"/>
        </w:rPr>
        <w:t>о 5 декабря  дает заведующему М</w:t>
      </w:r>
      <w:r w:rsidRPr="0090003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БУ № </w:t>
      </w:r>
      <w:r w:rsidR="00A46398">
        <w:rPr>
          <w:rFonts w:ascii="Times New Roman" w:hAnsi="Times New Roman"/>
          <w:sz w:val="28"/>
          <w:szCs w:val="28"/>
        </w:rPr>
        <w:t>12</w:t>
      </w:r>
      <w:r w:rsidRPr="0090003E">
        <w:rPr>
          <w:rFonts w:ascii="Times New Roman" w:hAnsi="Times New Roman"/>
          <w:sz w:val="28"/>
          <w:szCs w:val="28"/>
        </w:rPr>
        <w:t xml:space="preserve"> справку о сумме стимулирующей части фонда оплаты труда и экономии  фонда оплаты труда за прошедший отчетный период к распределению.</w:t>
      </w: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90003E">
        <w:rPr>
          <w:rFonts w:ascii="Times New Roman" w:hAnsi="Times New Roman"/>
          <w:sz w:val="28"/>
          <w:szCs w:val="28"/>
        </w:rPr>
        <w:t>6.4. Заведующий детского сада, на основании данного Положения и показателей для выплат стимулирующего характера, издает  приказ о распределении обозначенной в протоколе суммы стимулирующей части фонда оплаты труда и передает его председателю первичной профсоюзной организации для согласования. После согласования заведующий  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0BE9">
        <w:rPr>
          <w:rFonts w:ascii="Times New Roman" w:hAnsi="Times New Roman"/>
          <w:sz w:val="28"/>
          <w:szCs w:val="28"/>
        </w:rPr>
        <w:t>6.5.  При отсутствии или недостатке бюджетных финансовых средств заведующий детского сада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003E">
        <w:rPr>
          <w:rFonts w:ascii="Times New Roman" w:hAnsi="Times New Roman"/>
          <w:sz w:val="28"/>
          <w:szCs w:val="28"/>
        </w:rPr>
        <w:t xml:space="preserve">Составлено с учётом                                           </w:t>
      </w: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003E">
        <w:rPr>
          <w:rFonts w:ascii="Times New Roman" w:hAnsi="Times New Roman"/>
          <w:sz w:val="28"/>
          <w:szCs w:val="28"/>
        </w:rPr>
        <w:t xml:space="preserve">мнения     ППО    </w:t>
      </w:r>
    </w:p>
    <w:p w:rsidR="00700C98" w:rsidRPr="0090003E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«03» сентября 2012</w:t>
      </w:r>
      <w:r w:rsidR="00A46398">
        <w:rPr>
          <w:rFonts w:ascii="Times New Roman" w:hAnsi="Times New Roman"/>
          <w:sz w:val="28"/>
          <w:szCs w:val="28"/>
        </w:rPr>
        <w:t>г.        Заведующий МДОБУ             ___________Т.А. Смагина</w:t>
      </w:r>
    </w:p>
    <w:p w:rsidR="00700C9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Default="00A463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46398" w:rsidRDefault="00A463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6398" w:rsidRDefault="00A463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>к  Положению о порядке установления выплат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>стимулирующего характера работникам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>Муниципального дошкольного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 xml:space="preserve">образовательного бюджетного учреждения </w:t>
      </w:r>
    </w:p>
    <w:p w:rsidR="00700C98" w:rsidRPr="00E06901" w:rsidRDefault="00A463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Тальского  детского сада  № 12</w:t>
      </w:r>
    </w:p>
    <w:p w:rsidR="00700C98" w:rsidRPr="00E06901" w:rsidRDefault="00A463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«Огонёк</w:t>
      </w:r>
      <w:r w:rsidR="00700C98" w:rsidRPr="00E06901">
        <w:rPr>
          <w:rFonts w:ascii="Times New Roman" w:hAnsi="Times New Roman"/>
          <w:sz w:val="24"/>
          <w:szCs w:val="24"/>
          <w:lang w:eastAsia="ru-RU"/>
        </w:rPr>
        <w:t>»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воспитателя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2"/>
        <w:gridCol w:w="1099"/>
      </w:tblGrid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авторитета и имиджа ДОУ (связь со СМИ, личное участие в конференциях, семинарах, методических объединениях, конкурсах, показ мастер-классов и др.)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интернет - представительством, на образовательном форуме. Привлечение родителей к работе интернет – представительства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участие в реализации системы методической работы детского сада: ведение документации, создание методических разработок, разработка образовательных программ, систематизация и разработка методических материалов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организации и контроля (мониторинга) образовательного процесса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Результативные выступления педагогов, курируемых зам.зав. по УВР, на различных семинарах, конференциях, профессиональных конкурсах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внутрисадовском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муниципальном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краевом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федеральном уровне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инновационной и научно-методической деятельности, разработка программ, проектов, перспективных планов  и т.п.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разработке локальных актов учреждения (программ развития, образовательной программы, положений и т.д.)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годового плана деятельности МДОУ в полном объёме, выполнение плана 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планов взаимодействия с социальными партнерами ДОУ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и напряжённость работы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 качество исполнения управленческих решений.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сверх должностных инструкций (работа в комиссиях, руководство консультационными пунктами, учебно-опытным участком, творческой группой и т.д.).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общественных мероприятиях (уборках, субботниках, ремонте и пр.).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работы с родителями. Отсутствие обоснованных жалоб со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свыше 91%, ранний возраст свыше 81%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от 81% до 90%, ранний возраст  от 80% до 75%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от 75% до 80%, ранний возраст от 76% до 70%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или стабильно низкий уровень заболеваемости воспитанников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 случая заболевания по д/с; до 2 случаев – по яслям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 до 2 случаев заболевания по д/с; от 2 до 3 случаев – по яслям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2 до 3 случаев заболевания по д/с; от 3 до 4 случаев – по яслям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участия работника в конкурсах профессионального мастерства (в зависимости от уровня)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федеральном 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внутрисадовском уровне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Продуктивное участие в методической работе, проектах, конкурсах и проведение открытых занятий на уровне ДОУ: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качественное проведение открытого занятия, выступление на педагогическом совете, семинаре-практикуме, консультации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за призовые места в смотрах-конкурсах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в конкурсах, фестивалях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внутрисадовом уровне.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организации предметно-развивающей среды в групповых помещениях. Изготовление и обновление игрового и учебного оборудования, наглядного и раздаточного материалов.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педагогического работника в общих мероприятиях дошкольного образовательного учреждения (качественная подготовка и проведение праздников, конкурсов).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выполняемых работ.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плановой наполняемости воспитанников в группе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учителя-логопеда, педагога-психолога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2"/>
        <w:gridCol w:w="1099"/>
      </w:tblGrid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 работа с родителями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Образцовое содержание кабинета и методического материала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 работа с воспитателями и специалистами ДОУ, обеспечивающая индивидуальный подход к детям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5до10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Фиксированное участие в семинарах, педагогических советах,  проведение открытых занятий, выставок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конференциях, форумах, семинарах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областном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 уровне.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областном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федеральном и международном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областном уровне.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общих мероприятиях ДОУ (участие в детских праздниках, конкурсах, развлечениях).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работы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не входящих в должностные обязанности (работа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музыкального руководителя, инструктора по физической культуре.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2"/>
        <w:gridCol w:w="1099"/>
      </w:tblGrid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работа с родителями по проведению оздоровительных и профилактических мероприятий, подготовке к праздникам и развлечениям. Выполнения плана мероприятий по работе с родителями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экспериментальной работе, работа в творческих группах, разработка авторских программ, программы развития ДОУ, образовательной программы.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конференциях, форумах, семинарах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и международном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воспитанников в конкурсах, фестивалях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внутрисадовом уровне 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и международном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областном уровне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Фиксированное участие в семинарах, педагогических советах, консилиумах, проведение открытых занятий, выставок, проводимых в ДОУ.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 подготовка детей к утренникам, мероприятиям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 надлежащем виде рабочего места и музыкального (физкультурного) зала.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не входящих в должностные обязанности(работа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выполняемой работы.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</w:t>
            </w: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ab/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помощника воспитателя, младшего воспитателя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2"/>
        <w:gridCol w:w="1099"/>
      </w:tblGrid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укреплению здоровья детей,  ежедневное      проведение совместное воспитателем и под его руководством    закаливающих        процедур             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    замечаний      медперсонала,  администрации  учреждения,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надзорных      органов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 по самообслуживанию, соблюдению детьми   распорядка дня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        распорядка дня,     режима подачи       питьевой воды,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необходимой помощи воспитанникам по самообслуживанию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 дополнительных работ  (участие в проведении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ремонтных работ в  учреждении,  в подготовке к конкурсам, проведение дня      именинника,   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праздников   для детей )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санитарно-гигиенических норм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плановой наполняемости воспитанников в группе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заведующего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хозяйством, кастелянши, дворника, машиниста по  стирке белья, сторожа, подсобного  рабочего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8"/>
        <w:gridCol w:w="1099"/>
      </w:tblGrid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итогам  ревизий и других проверок по вопросам хозяйственной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количества списываемого инвентаря по причине досрочного приведения в негодность (по сравнению с предыдущим отчётным периодом)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предписаний и обоснованных жалоб в части  здоровья детей и сотрудников (в рамках функциональных обязанностей и не связанных с капитальным вложением средств)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территории и помещений ДОУ в соответствии с требованиями СанПиН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 организация и  контроль проведения ремонтных работ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выполнению правил и норм охраны труда, техники безопасности и противопожарной защиты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  дополнительных видов работ, погрузочно-разгрузочные работы; проведение ремонтных работ и работ,      связанных с         ликвидацией аварий, выполнение работ по благоустройству и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озеленению          территории          учреждения;         проведение          генеральных уборок   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или      оперативное         устранение          предписаний         контролирующих или  надзорных органов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         праздников для детей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  помещений, участков в строгом соответствии с    санитарно-          гигиеническими      требованиями,       качественная уборка помещений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   для осуществления   образовательного    процесса-  обеспечение   санитарно- гигиенических   условий процесса   обучения;           обеспечение   санитарно-бытовых   условий,  выполнение          требований          пожарной и электробезопасности, охраны труда       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здоровья детей в учреждении -   создание и          реализация программ и проектов,         направленных на     сохранение здоровья детей    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          инновационной       деятельности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      проведение отчетных мероприятий,        показывающих        родителям результаты образовательного    процесса, достижения детей ,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открытые утренники, праздники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34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 дополнительных работ - участие в проведении ремонтных работ в    учреждении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повара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932"/>
        <w:gridCol w:w="1099"/>
      </w:tblGrid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Критерии оценки деятельности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или      оперативное         устранение          предписаний   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контролирующих или  надзорных органов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норм в   приготовлении пищи  согласно цикличному меню        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        технологического    процесса            приготовления пищи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помещений в строгом           соответствии с      санитарно-          гигиеническими      требованиями   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Качество            приготовления пищи, эстетическое        оформление блюд     </w:t>
            </w:r>
          </w:p>
        </w:tc>
        <w:tc>
          <w:tcPr>
            <w:tcW w:w="109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воспитателя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6745"/>
        <w:gridCol w:w="1049"/>
        <w:gridCol w:w="705"/>
        <w:gridCol w:w="690"/>
        <w:gridCol w:w="30"/>
        <w:gridCol w:w="981"/>
      </w:tblGrid>
      <w:tr w:rsidR="00700C98" w:rsidRPr="009945E5" w:rsidTr="009945E5">
        <w:trPr>
          <w:trHeight w:val="1110"/>
        </w:trPr>
        <w:tc>
          <w:tcPr>
            <w:tcW w:w="54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5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49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406" w:type="dxa"/>
            <w:gridSpan w:val="4"/>
          </w:tcPr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rPr>
          <w:trHeight w:val="585"/>
        </w:trPr>
        <w:tc>
          <w:tcPr>
            <w:tcW w:w="54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5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Рук-ль/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авторитета и имиджа ДОУ (связь со СМИ, личное участие в конференциях, семинарах, методических объединениях, конкурсах, показ мастер-классов и др.)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интернет - представительством, на образовательном форуме. Привлечение родителей к работе интернет – представительства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Продуктивное участие в реализации системы методической работы детского сада: ведение документации, создание методических разработок, разработка образовательных программ, систематизация и разработка методических материалов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 организации и контроля (мониторинга) образовательного процесса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Результативные выступления педагогов, курируемых зам.зав. по УВР, на различных семинарах, конференциях, профессиональных конкурсах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внутрисадовском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муниципальном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краевом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федеральном уровне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федеральном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инновационной и научно-методической деятельности, разработка программ, проектов, перспективных планов  и т.п.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разработке локальных актов учреждения (программ развития, образовательной программы, положений и т.д.)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годового плана деятельности МДОУ в полном объёме, выполнение плана 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планов взаимодействия с социальными партнерами ДОУ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и напряжённость работы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и качество исполнения управленческих решений.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сверх должностных инструкций (работа в комиссиях, руководство консультационными пунктами, учебно-опытным участком, творческой группой и т.д.).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общественных мероприятиях (уборках, субботниках, ремонте и пр.).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работы с родителями. Отсутствие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обоснованных жалоб со стороны родителей (законных представителей) и высокий уровень решения конфликтных ситуаций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свыше 91%, ранний возраст свыше 81%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от 81% до 90%, ранний возраст  от 80% до 75%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посещаемость составляет от 75% до 80%, ранний возраст от 76% до 70%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или стабильно низкий уровень заболеваемости воспитанников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 случая заболевания по д/с; до 2 случаев – по яслям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 до 2 случаев заболевания по д/с; от 2 до 3 случаев – по яслям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2 до 3 случаев заболевания по д/с; от 3 до 4 случаев – по яслям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Интенсивность и напряжённость работы (при подготовке к утренникам, новому учебному году, летнему периоду и т.п.).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участия работника в конкурсах профессионального мастерства (в зависимости от уровня)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федеральном 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внутрисадовском уровне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Продуктивное участие в методической работе, проектах, конкурсах и проведение открытых занятий на уровне ДОУ: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качественное проведение открытого занятия, выступление на педагогическом совете, семинаре-практикуме, консультации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за призовые места в смотрах-конкурсах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воспитанников в конкурсах, фестивалях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внутрисадовом уровне.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организации предметно-развивающей среды в групповых помещениях. Изготовление и обновление игрового и учебного оборудования, наглядного и раздаточного материалов.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педагогического работника в общих мероприятиях дошкольного образовательного учреждения (качественная подготовка и проведение праздников, конкурсов).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выполняемых работ.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плановой наполняемости воспитанников в группе</w:t>
            </w:r>
          </w:p>
        </w:tc>
        <w:tc>
          <w:tcPr>
            <w:tcW w:w="104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учителя-логопеда, педагога-психолога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137"/>
        <w:gridCol w:w="973"/>
        <w:gridCol w:w="1177"/>
        <w:gridCol w:w="29"/>
        <w:gridCol w:w="779"/>
        <w:gridCol w:w="963"/>
      </w:tblGrid>
      <w:tr w:rsidR="00700C98" w:rsidRPr="009945E5" w:rsidTr="009945E5">
        <w:trPr>
          <w:trHeight w:val="315"/>
        </w:trPr>
        <w:tc>
          <w:tcPr>
            <w:tcW w:w="54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8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992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68" w:type="dxa"/>
            <w:gridSpan w:val="4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700C98" w:rsidRPr="009945E5" w:rsidTr="009945E5">
        <w:trPr>
          <w:trHeight w:val="240"/>
        </w:trPr>
        <w:tc>
          <w:tcPr>
            <w:tcW w:w="54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8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Комис-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 работа с родителями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Образцовое содержание кабинета и методического материала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Эффективная работа с воспитателями и специалистами ДОУ, обеспечивающая индивидуальный подход к детям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5до10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экспериментальной работе, работа в творческих группах, разработка авторских программ, программы развития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Фиксированное участие в семинарах, педагогических советах,  проведение открытых занятий, выставок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конференциях, форумах, семинарах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областном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 уровне.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областном уровне;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федеральном и международном уровне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областном уровне.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общих мероприятиях ДОУ (участие в детских праздниках, конкурсах, развлечениях).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самоуправления.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работы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585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9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не входящих в должностные обязанности (работа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</w:p>
        </w:tc>
        <w:tc>
          <w:tcPr>
            <w:tcW w:w="99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615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0C98" w:rsidRPr="009945E5" w:rsidRDefault="00700C98" w:rsidP="0099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музыкального руководителя, инструктора по физической культуре.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661"/>
        <w:gridCol w:w="1045"/>
        <w:gridCol w:w="803"/>
        <w:gridCol w:w="655"/>
        <w:gridCol w:w="11"/>
        <w:gridCol w:w="883"/>
      </w:tblGrid>
      <w:tr w:rsidR="00700C98" w:rsidRPr="009945E5" w:rsidTr="009945E5">
        <w:trPr>
          <w:trHeight w:val="345"/>
        </w:trPr>
        <w:tc>
          <w:tcPr>
            <w:tcW w:w="54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1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45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52" w:type="dxa"/>
            <w:gridSpan w:val="4"/>
          </w:tcPr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rPr>
          <w:trHeight w:val="195"/>
        </w:trPr>
        <w:tc>
          <w:tcPr>
            <w:tcW w:w="54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Эффективная работа с родителями по проведению оздоровительных и профилактических мероприятий, подготовке к праздникам и развлечениям. Выполнения плана мероприятий по работе с родителями  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экспериментальной работе, работа в творческих группах, разработка авторских программ, программы развития ДОУ, образовательной программы.        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на конференциях, форумах, семинарах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и международном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воспитанников в конкурсах, фестивалях и т.п.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краевом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внутрисадовом уровне 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на федеральном и международном уровне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областном уровне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Фиксированное участие в семинарах, педагогических советах, консилиумах, проведение открытых занятий, выставок, проводимых в ДОУ.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 подготовка детей к утренникам, мероприятиям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 надлежащем виде рабочего места и музыкального (физкультурного) зала.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участие в общественных мероприятиях учреждения (уборках, субботниках, ремонте и пр.)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общественной работы. Участие в работе органов самоуправления</w:t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заданий, не входящих в должностные обязанности</w:t>
            </w:r>
            <w:r w:rsidR="00FC2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(работа в комиссиях, руководство консультационными пунктами, учебно-опытным участком, творческой группой, выполнение функций администратора или корреспондента сайта ДОУ и т.д.).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объёма выполняемой работы.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</w:t>
            </w:r>
          </w:p>
        </w:tc>
        <w:tc>
          <w:tcPr>
            <w:tcW w:w="803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6901">
        <w:rPr>
          <w:rFonts w:ascii="Times New Roman" w:hAnsi="Times New Roman"/>
          <w:sz w:val="24"/>
          <w:szCs w:val="24"/>
          <w:lang w:eastAsia="ru-RU"/>
        </w:rPr>
        <w:tab/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помощника воспитателя, младшего воспитателя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524"/>
        <w:gridCol w:w="1040"/>
        <w:gridCol w:w="803"/>
        <w:gridCol w:w="19"/>
        <w:gridCol w:w="647"/>
        <w:gridCol w:w="883"/>
      </w:tblGrid>
      <w:tr w:rsidR="00700C98" w:rsidRPr="009945E5" w:rsidTr="009945E5">
        <w:trPr>
          <w:trHeight w:val="330"/>
        </w:trPr>
        <w:tc>
          <w:tcPr>
            <w:tcW w:w="54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6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7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00" w:type="dxa"/>
            <w:gridSpan w:val="4"/>
          </w:tcPr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rPr>
          <w:trHeight w:val="225"/>
        </w:trPr>
        <w:tc>
          <w:tcPr>
            <w:tcW w:w="54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6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48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работы по укреплению здоровья детей,  </w:t>
            </w: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ежедневное      проведение совместное воспитателем и под его руководством    закаливающих        процедур                        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    замечаний      медперсонала,  администрации  учреждения,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надзорных      органов        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 по самообслуживанию, соблюдению детьми   распорядка дня      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        распорядка дня,     режима подачи       питьевой воды,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необходимой помощи воспитанникам по самообслуживанию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 дополнительных работ  (участие в проведении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ремонтных работ в  учреждении,  в подготовке к конкурсам, проведение дня      именинника,   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праздников   для детей )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4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санитарно-гигиенических норм  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плановой наполняемости воспитанников в группе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4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Работа без больничных листов</w:t>
            </w:r>
          </w:p>
        </w:tc>
        <w:tc>
          <w:tcPr>
            <w:tcW w:w="107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заведующего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хозяйством, кастелянши, дворника, машиниста по  стирке белья, сторожа, подсобного  рабочего</w:t>
      </w: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6389"/>
        <w:gridCol w:w="1032"/>
        <w:gridCol w:w="803"/>
        <w:gridCol w:w="21"/>
        <w:gridCol w:w="645"/>
        <w:gridCol w:w="883"/>
      </w:tblGrid>
      <w:tr w:rsidR="00700C98" w:rsidRPr="009945E5" w:rsidTr="009945E5">
        <w:trPr>
          <w:trHeight w:val="315"/>
        </w:trPr>
        <w:tc>
          <w:tcPr>
            <w:tcW w:w="541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6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69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8" w:type="dxa"/>
            <w:gridSpan w:val="4"/>
          </w:tcPr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rPr>
          <w:trHeight w:val="225"/>
        </w:trPr>
        <w:tc>
          <w:tcPr>
            <w:tcW w:w="541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6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405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итогам  ревизий и других проверок по вопросам хозяйственной деятельности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количества списываемого инвентаря по причине досрочного приведения в негодность (по сравнению с предыдущим отчётным периодом)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предписаний и обоснованных жалоб в части  здоровья детей и сотрудников (в рамках функциональных обязанностей и не связанных с капитальным вложением средств)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территории и помещений ДОУ в соответствии с требованиями СанПиН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Качественная организация и  контроль проведения ремонтных работ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замечаний по выполнению правил и норм охраны труда, техники безопасности и противопожарной защиты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  дополнительных видов работ, погрузочно-разгрузочные работы; проведение ремонтных работ и работ,      связанных с         ликвидацией аварий, выполнение работ по благоустройству и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озеленению          территории          учреждения;         проведение          генеральных уборок      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или      оперативное         устранение          предписаний         контролирующих или  надзорных органов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         праздников для детей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  помещений, участков в строгом соответствии с    санитарно-          гигиеническими      требованиями,       качественная уборка помещений   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   для осуществления   образовательного    процесса-  обеспечение   санитарно- гигиенических   условий процесса   обучения;           обеспечение   санитарно-бытовых   условий,  выполнение          требований          пожарной и электробезопасности, охраны труда          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здоровья детей в учреждении -   создание и          реализация программ и проектов,         направленных на     сохранение здоровья детей       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          инновационной       деятельности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      проведение отчетных мероприятий,        показывающих        родителям результаты образовательного    процесса, достижения детей ,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открытые утренники, праздники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6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 дополнительных работ - участие в проведении ремонтных работ в    учреждении          </w:t>
            </w:r>
          </w:p>
        </w:tc>
        <w:tc>
          <w:tcPr>
            <w:tcW w:w="1069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20</w:t>
            </w:r>
          </w:p>
        </w:tc>
        <w:tc>
          <w:tcPr>
            <w:tcW w:w="360" w:type="dxa"/>
            <w:gridSpan w:val="2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06901">
        <w:rPr>
          <w:rFonts w:ascii="Times New Roman" w:hAnsi="Times New Roman"/>
          <w:b/>
          <w:sz w:val="32"/>
          <w:szCs w:val="32"/>
          <w:lang w:eastAsia="ru-RU"/>
        </w:rPr>
        <w:t>Критерии оценки результативности профессиональной деятельности повара</w:t>
      </w:r>
    </w:p>
    <w:p w:rsidR="00700C98" w:rsidRPr="00E06901" w:rsidRDefault="00700C98" w:rsidP="00E069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522"/>
        <w:gridCol w:w="1042"/>
        <w:gridCol w:w="803"/>
        <w:gridCol w:w="666"/>
        <w:gridCol w:w="883"/>
      </w:tblGrid>
      <w:tr w:rsidR="00700C98" w:rsidRPr="009945E5" w:rsidTr="009945E5">
        <w:trPr>
          <w:trHeight w:val="315"/>
        </w:trPr>
        <w:tc>
          <w:tcPr>
            <w:tcW w:w="540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45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деятельности</w:t>
            </w:r>
          </w:p>
        </w:tc>
        <w:tc>
          <w:tcPr>
            <w:tcW w:w="1071" w:type="dxa"/>
            <w:vMerge w:val="restart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600" w:type="dxa"/>
            <w:gridSpan w:val="3"/>
          </w:tcPr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Оценка за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текущий месяц</w:t>
            </w:r>
          </w:p>
          <w:p w:rsidR="00700C98" w:rsidRPr="009945E5" w:rsidRDefault="00700C98" w:rsidP="009945E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rPr>
          <w:trHeight w:val="225"/>
        </w:trPr>
        <w:tc>
          <w:tcPr>
            <w:tcW w:w="540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Рук-ль</w:t>
            </w: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Комис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сия</w:t>
            </w: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или      оперативное         устранение          предписаний         </w:t>
            </w: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контролирующих или  надзорных органов   </w:t>
            </w:r>
          </w:p>
        </w:tc>
        <w:tc>
          <w:tcPr>
            <w:tcW w:w="10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норм в   приготовлении пищи  согласно цикличному меню                </w:t>
            </w:r>
          </w:p>
        </w:tc>
        <w:tc>
          <w:tcPr>
            <w:tcW w:w="10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        технологического    процесса            приготовления пищи  </w:t>
            </w:r>
          </w:p>
        </w:tc>
        <w:tc>
          <w:tcPr>
            <w:tcW w:w="10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помещений в строгом           соответствии с      санитарно-          гигиеническими      требованиями        </w:t>
            </w:r>
          </w:p>
        </w:tc>
        <w:tc>
          <w:tcPr>
            <w:tcW w:w="10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C98" w:rsidRPr="009945E5" w:rsidTr="009945E5">
        <w:tc>
          <w:tcPr>
            <w:tcW w:w="54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5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Качество            приготовления пищи, эстетическое        оформление блюд     </w:t>
            </w:r>
          </w:p>
        </w:tc>
        <w:tc>
          <w:tcPr>
            <w:tcW w:w="1071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45E5">
              <w:rPr>
                <w:rFonts w:ascii="Times New Roman" w:hAnsi="Times New Roman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33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0C98" w:rsidRPr="009945E5" w:rsidRDefault="00700C98" w:rsidP="0099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F80BE9" w:rsidRDefault="00700C98" w:rsidP="00E069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E069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E069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E06901" w:rsidRDefault="00700C98" w:rsidP="00E069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0C98" w:rsidRPr="00F80BE9" w:rsidRDefault="00700C98" w:rsidP="00F80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00C98" w:rsidRPr="00F80BE9" w:rsidSect="005129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026"/>
    <w:rsid w:val="00023B58"/>
    <w:rsid w:val="0006496E"/>
    <w:rsid w:val="000B4CA1"/>
    <w:rsid w:val="000F7F24"/>
    <w:rsid w:val="001B00BF"/>
    <w:rsid w:val="001D6F9C"/>
    <w:rsid w:val="00244590"/>
    <w:rsid w:val="002A2937"/>
    <w:rsid w:val="002A65AE"/>
    <w:rsid w:val="002C65D3"/>
    <w:rsid w:val="002E634D"/>
    <w:rsid w:val="00311701"/>
    <w:rsid w:val="0033047E"/>
    <w:rsid w:val="003561A1"/>
    <w:rsid w:val="003A0B62"/>
    <w:rsid w:val="003F2BF7"/>
    <w:rsid w:val="004437B4"/>
    <w:rsid w:val="00475F59"/>
    <w:rsid w:val="004945EC"/>
    <w:rsid w:val="004D3E34"/>
    <w:rsid w:val="005014DD"/>
    <w:rsid w:val="00502CDD"/>
    <w:rsid w:val="005129B9"/>
    <w:rsid w:val="00562AF4"/>
    <w:rsid w:val="005819E4"/>
    <w:rsid w:val="00644826"/>
    <w:rsid w:val="0065014A"/>
    <w:rsid w:val="00677841"/>
    <w:rsid w:val="00700C98"/>
    <w:rsid w:val="007624FE"/>
    <w:rsid w:val="007D0026"/>
    <w:rsid w:val="007D4961"/>
    <w:rsid w:val="007F1E5F"/>
    <w:rsid w:val="0090003E"/>
    <w:rsid w:val="0091469D"/>
    <w:rsid w:val="0092188D"/>
    <w:rsid w:val="00962509"/>
    <w:rsid w:val="00974B8D"/>
    <w:rsid w:val="009945E5"/>
    <w:rsid w:val="009F59CA"/>
    <w:rsid w:val="00A46398"/>
    <w:rsid w:val="00AD47B1"/>
    <w:rsid w:val="00B02C7B"/>
    <w:rsid w:val="00BE6C9F"/>
    <w:rsid w:val="00C94F7A"/>
    <w:rsid w:val="00D713C2"/>
    <w:rsid w:val="00DA0FFF"/>
    <w:rsid w:val="00DC4F54"/>
    <w:rsid w:val="00E06901"/>
    <w:rsid w:val="00E63D5C"/>
    <w:rsid w:val="00F80BE9"/>
    <w:rsid w:val="00FC2E6B"/>
    <w:rsid w:val="00FE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7F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8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0690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27</Pages>
  <Words>4564</Words>
  <Characters>33342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cp:lastPrinted>2016-02-02T01:07:00Z</cp:lastPrinted>
  <dcterms:created xsi:type="dcterms:W3CDTF">2002-02-04T20:38:00Z</dcterms:created>
  <dcterms:modified xsi:type="dcterms:W3CDTF">2016-02-02T08:32:00Z</dcterms:modified>
</cp:coreProperties>
</file>